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36B" w:rsidRPr="00FB6407" w:rsidRDefault="00FB6407" w:rsidP="00FB6407">
      <w:pPr>
        <w:jc w:val="center"/>
        <w:rPr>
          <w:b/>
          <w:sz w:val="36"/>
        </w:rPr>
      </w:pPr>
      <w:r w:rsidRPr="00FB6407">
        <w:rPr>
          <w:rFonts w:hint="eastAsia"/>
          <w:b/>
          <w:sz w:val="36"/>
        </w:rPr>
        <w:t>《</w:t>
      </w:r>
      <w:r w:rsidR="005505AE">
        <w:rPr>
          <w:rFonts w:hint="eastAsia"/>
          <w:b/>
          <w:sz w:val="36"/>
        </w:rPr>
        <w:t>核电厂关键敏感会设备缓解策略分析导则</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B86915" w:rsidRPr="00B86915" w:rsidRDefault="00B07615" w:rsidP="00971BBE">
      <w:pPr>
        <w:ind w:firstLineChars="200" w:firstLine="480"/>
      </w:pPr>
      <w:r>
        <w:rPr>
          <w:rFonts w:hint="eastAsia"/>
        </w:rPr>
        <w:t>本标准由</w:t>
      </w:r>
      <w:r w:rsidR="005505AE">
        <w:rPr>
          <w:rFonts w:hint="eastAsia"/>
        </w:rPr>
        <w:t>中核核电运行管理有限公司</w:t>
      </w:r>
      <w:r>
        <w:rPr>
          <w:rFonts w:hint="eastAsia"/>
        </w:rPr>
        <w:t>主编，</w:t>
      </w:r>
      <w:r w:rsidR="005505AE">
        <w:rPr>
          <w:rFonts w:hint="eastAsia"/>
        </w:rPr>
        <w:t>海南核电有限公司、福清核电有限公司、江苏核电有限公司、中核武汉技术股份有限公司、中国核电（上海）运行研究院等单位</w:t>
      </w:r>
      <w:r>
        <w:rPr>
          <w:rFonts w:hint="eastAsia"/>
        </w:rPr>
        <w:t>参编</w:t>
      </w:r>
      <w:r w:rsidR="00971BBE">
        <w:rPr>
          <w:rFonts w:hint="eastAsia"/>
        </w:rPr>
        <w:t xml:space="preserve">， </w:t>
      </w:r>
      <w:r w:rsidR="00B86915">
        <w:rPr>
          <w:rFonts w:hint="eastAsia"/>
        </w:rPr>
        <w:t>202</w:t>
      </w:r>
      <w:r w:rsidR="005505AE">
        <w:t>2</w:t>
      </w:r>
      <w:r w:rsidR="00B86915">
        <w:rPr>
          <w:rFonts w:hint="eastAsia"/>
        </w:rPr>
        <w:t>年</w:t>
      </w:r>
      <w:r w:rsidR="005505AE">
        <w:t>3</w:t>
      </w:r>
      <w:r w:rsidR="00B86915">
        <w:rPr>
          <w:rFonts w:hint="eastAsia"/>
        </w:rPr>
        <w:t>月</w:t>
      </w:r>
      <w:r w:rsidR="0010139A">
        <w:rPr>
          <w:rFonts w:hint="eastAsia"/>
        </w:rPr>
        <w:t>起草编制，202</w:t>
      </w:r>
      <w:r w:rsidR="000322AE">
        <w:t>2</w:t>
      </w:r>
      <w:r w:rsidR="0010139A">
        <w:rPr>
          <w:rFonts w:hint="eastAsia"/>
        </w:rPr>
        <w:t>年</w:t>
      </w:r>
      <w:r w:rsidR="005505AE">
        <w:t>6</w:t>
      </w:r>
      <w:r w:rsidR="0010139A">
        <w:rPr>
          <w:rFonts w:hint="eastAsia"/>
        </w:rPr>
        <w:t>月草案送审，202</w:t>
      </w:r>
      <w:r w:rsidR="000322AE">
        <w:t>2</w:t>
      </w:r>
      <w:r w:rsidR="0010139A">
        <w:rPr>
          <w:rFonts w:hint="eastAsia"/>
        </w:rPr>
        <w:t>年</w:t>
      </w:r>
      <w:r w:rsidR="005505AE">
        <w:t>10</w:t>
      </w:r>
      <w:r w:rsidR="0010139A">
        <w:rPr>
          <w:rFonts w:hint="eastAsia"/>
        </w:rPr>
        <w:t>月通过立项审批，详见</w:t>
      </w:r>
      <w:r w:rsidR="00B86915" w:rsidRPr="00B86915">
        <w:rPr>
          <w:rFonts w:hint="eastAsia"/>
        </w:rPr>
        <w:t>中国核能行业协会（核协科函[202</w:t>
      </w:r>
      <w:r w:rsidR="005505AE">
        <w:t>2</w:t>
      </w:r>
      <w:r w:rsidR="00B86915" w:rsidRPr="00B86915">
        <w:rPr>
          <w:rFonts w:hint="eastAsia"/>
        </w:rPr>
        <w:t>]</w:t>
      </w:r>
      <w:r w:rsidR="005505AE">
        <w:t>621</w:t>
      </w:r>
      <w:r w:rsidR="00B86915" w:rsidRPr="00B86915">
        <w:rPr>
          <w:rFonts w:hint="eastAsia"/>
        </w:rPr>
        <w:t>号）“关于《</w:t>
      </w:r>
      <w:r w:rsidR="005505AE">
        <w:rPr>
          <w:rFonts w:hint="eastAsia"/>
        </w:rPr>
        <w:t>核电厂行为观察导则</w:t>
      </w:r>
      <w:r w:rsidR="00B86915" w:rsidRPr="00B86915">
        <w:rPr>
          <w:rFonts w:hint="eastAsia"/>
        </w:rPr>
        <w:t>》等</w:t>
      </w:r>
      <w:r w:rsidR="005505AE">
        <w:t>19</w:t>
      </w:r>
      <w:r w:rsidR="00B86915" w:rsidRPr="00B86915">
        <w:rPr>
          <w:rFonts w:hint="eastAsia"/>
        </w:rPr>
        <w:t>项团体标准通过立项</w:t>
      </w:r>
      <w:r w:rsidR="00B86915">
        <w:rPr>
          <w:rFonts w:hint="eastAsia"/>
        </w:rPr>
        <w:t>审批</w:t>
      </w:r>
      <w:r w:rsidR="00B86915" w:rsidRPr="00B86915">
        <w:rPr>
          <w:rFonts w:hint="eastAsia"/>
        </w:rPr>
        <w:t>的通知”</w:t>
      </w:r>
      <w:r w:rsidR="0010139A">
        <w:rPr>
          <w:rFonts w:hint="eastAsia"/>
        </w:rPr>
        <w:t>。本标准具体条目</w:t>
      </w:r>
      <w:r w:rsidR="00B86915" w:rsidRPr="00B86915">
        <w:rPr>
          <w:rFonts w:hint="eastAsia"/>
        </w:rPr>
        <w:t>见该通知中标准制（修）订计划汇总表中序号</w:t>
      </w:r>
      <w:r w:rsidR="005505AE">
        <w:t>17</w:t>
      </w:r>
      <w:r w:rsidR="00B86915" w:rsidRPr="00B86915">
        <w:rPr>
          <w:rFonts w:hint="eastAsia"/>
        </w:rPr>
        <w:t>项。</w:t>
      </w:r>
    </w:p>
    <w:p w:rsidR="006A6B56" w:rsidRDefault="006A6B56" w:rsidP="00FB6407"/>
    <w:p w:rsidR="00FB6407" w:rsidRPr="00B24A56" w:rsidRDefault="00FB6407" w:rsidP="00FB6407">
      <w:pPr>
        <w:rPr>
          <w:b/>
        </w:rPr>
      </w:pPr>
      <w:r w:rsidRPr="00B24A56">
        <w:rPr>
          <w:rFonts w:hint="eastAsia"/>
          <w:b/>
        </w:rPr>
        <w:t>2、主要工作过程</w:t>
      </w:r>
    </w:p>
    <w:p w:rsidR="0010139A" w:rsidRPr="0010139A" w:rsidRDefault="0010139A" w:rsidP="00971BBE">
      <w:pPr>
        <w:ind w:firstLineChars="200" w:firstLine="480"/>
      </w:pPr>
      <w:r>
        <w:rPr>
          <w:rFonts w:hint="eastAsia"/>
        </w:rPr>
        <w:t>本</w:t>
      </w:r>
      <w:r w:rsidRPr="0010139A">
        <w:rPr>
          <w:rFonts w:hint="eastAsia"/>
        </w:rPr>
        <w:t>标准编</w:t>
      </w:r>
      <w:r w:rsidR="0094219A">
        <w:rPr>
          <w:rFonts w:hint="eastAsia"/>
        </w:rPr>
        <w:t>写经历了标准编制方案起草、标准方案研讨、资料收集、资料研究分析</w:t>
      </w:r>
      <w:r w:rsidRPr="0010139A">
        <w:rPr>
          <w:rFonts w:hint="eastAsia"/>
        </w:rPr>
        <w:t>、内部研究讨论、反复修改、邀请内部专家审查，形成本征求意见稿，待参编单位与征求意见的各单位与专家反馈后，将更新至送审稿</w:t>
      </w:r>
      <w:r w:rsidR="00A4039C">
        <w:rPr>
          <w:rFonts w:hint="eastAsia"/>
        </w:rPr>
        <w:t>，最终将于202</w:t>
      </w:r>
      <w:r w:rsidR="0094219A">
        <w:t>3</w:t>
      </w:r>
      <w:r w:rsidR="00A4039C">
        <w:rPr>
          <w:rFonts w:hint="eastAsia"/>
        </w:rPr>
        <w:t>年</w:t>
      </w:r>
      <w:r w:rsidR="0094219A">
        <w:t>6</w:t>
      </w:r>
      <w:r w:rsidR="00A4039C">
        <w:rPr>
          <w:rFonts w:hint="eastAsia"/>
        </w:rPr>
        <w:t>月完成本标准定稿</w:t>
      </w:r>
      <w:r w:rsidRPr="0010139A">
        <w:rPr>
          <w:rFonts w:hint="eastAsia"/>
        </w:rPr>
        <w:t>。</w:t>
      </w:r>
    </w:p>
    <w:p w:rsidR="00FB6407" w:rsidRDefault="00FB6407" w:rsidP="00FB6407"/>
    <w:p w:rsidR="00FB6407" w:rsidRPr="00B24A56" w:rsidRDefault="00FB6407" w:rsidP="00FB6407">
      <w:pPr>
        <w:rPr>
          <w:b/>
        </w:rPr>
      </w:pPr>
      <w:r w:rsidRPr="00B24A56">
        <w:rPr>
          <w:rFonts w:hint="eastAsia"/>
          <w:b/>
        </w:rPr>
        <w:t>3、</w:t>
      </w:r>
      <w:r w:rsidRPr="00B24A56">
        <w:rPr>
          <w:b/>
        </w:rPr>
        <w:t>主要参加单位和工作组成员及其所作的工作等</w:t>
      </w:r>
    </w:p>
    <w:p w:rsidR="0010139A" w:rsidRPr="00A4039C" w:rsidRDefault="00A4039C" w:rsidP="00971BBE">
      <w:pPr>
        <w:ind w:firstLineChars="200" w:firstLine="480"/>
      </w:pPr>
      <w:r>
        <w:rPr>
          <w:rFonts w:hint="eastAsia"/>
        </w:rPr>
        <w:t>本</w:t>
      </w:r>
      <w:r w:rsidRPr="00A4039C">
        <w:rPr>
          <w:rFonts w:hint="eastAsia"/>
        </w:rPr>
        <w:t>标准</w:t>
      </w:r>
      <w:r>
        <w:rPr>
          <w:rFonts w:hint="eastAsia"/>
        </w:rPr>
        <w:t>编写主要参加单位有</w:t>
      </w:r>
      <w:r w:rsidR="00B905F1">
        <w:rPr>
          <w:rFonts w:hint="eastAsia"/>
        </w:rPr>
        <w:t>中核核电运行管理有限公司，参与本标准编制的还有海南核电有限公司、福清核电有限公司、三门核电有限公司、江苏核电有限公司等核电运行单位以及中核武汉运行技术有限公司、核电（上海）运行研究院两个研究院</w:t>
      </w:r>
      <w:r w:rsidRPr="00A4039C">
        <w:rPr>
          <w:rFonts w:hint="eastAsia"/>
        </w:rPr>
        <w:t>，主要编写人为</w:t>
      </w:r>
      <w:r w:rsidR="00B905F1">
        <w:rPr>
          <w:rFonts w:hint="eastAsia"/>
        </w:rPr>
        <w:t>李建春</w:t>
      </w:r>
      <w:r w:rsidRPr="00A4039C">
        <w:rPr>
          <w:rFonts w:hint="eastAsia"/>
        </w:rPr>
        <w:t>、</w:t>
      </w:r>
      <w:r w:rsidR="00B905F1">
        <w:rPr>
          <w:rFonts w:hint="eastAsia"/>
        </w:rPr>
        <w:t>李小泉</w:t>
      </w:r>
      <w:r w:rsidRPr="00A4039C">
        <w:rPr>
          <w:rFonts w:hint="eastAsia"/>
        </w:rPr>
        <w:t>、</w:t>
      </w:r>
      <w:r w:rsidR="00B905F1">
        <w:rPr>
          <w:rFonts w:hint="eastAsia"/>
        </w:rPr>
        <w:t>姜向平</w:t>
      </w:r>
      <w:r w:rsidRPr="00A4039C">
        <w:rPr>
          <w:rFonts w:hint="eastAsia"/>
        </w:rPr>
        <w:t>、</w:t>
      </w:r>
      <w:r w:rsidR="00472D7C">
        <w:rPr>
          <w:rFonts w:hint="eastAsia"/>
        </w:rPr>
        <w:t>吴剑、张云华、</w:t>
      </w:r>
      <w:r w:rsidR="00E64120">
        <w:rPr>
          <w:rFonts w:hint="eastAsia"/>
        </w:rPr>
        <w:t>雷青松、闵凡、刘健、张元亮、李云、王岩</w:t>
      </w:r>
      <w:r w:rsidR="00AA3248">
        <w:rPr>
          <w:rFonts w:hint="eastAsia"/>
        </w:rPr>
        <w:t>、王欣、刘丙月、杨纪晨、姜剑峰、</w:t>
      </w:r>
      <w:r w:rsidR="00472D7C">
        <w:rPr>
          <w:rFonts w:hint="eastAsia"/>
        </w:rPr>
        <w:t>左涛</w:t>
      </w:r>
      <w:r>
        <w:rPr>
          <w:rFonts w:hint="eastAsia"/>
        </w:rPr>
        <w:t>。本标准各章节的技术</w:t>
      </w:r>
      <w:r w:rsidR="00B905F1">
        <w:rPr>
          <w:rFonts w:hint="eastAsia"/>
        </w:rPr>
        <w:t>内容</w:t>
      </w:r>
      <w:r>
        <w:rPr>
          <w:rFonts w:hint="eastAsia"/>
        </w:rPr>
        <w:t>，如</w:t>
      </w:r>
      <w:r w:rsidR="00B905F1">
        <w:rPr>
          <w:rFonts w:hint="eastAsia"/>
        </w:rPr>
        <w:t>缓解策略分析原则</w:t>
      </w:r>
      <w:r>
        <w:rPr>
          <w:rFonts w:hint="eastAsia"/>
        </w:rPr>
        <w:t>、</w:t>
      </w:r>
      <w:r w:rsidR="00B905F1">
        <w:rPr>
          <w:rFonts w:hint="eastAsia"/>
        </w:rPr>
        <w:t>缓解策略分析方法</w:t>
      </w:r>
      <w:r w:rsidR="002254C8">
        <w:rPr>
          <w:rFonts w:hint="eastAsia"/>
        </w:rPr>
        <w:t>等主要由</w:t>
      </w:r>
      <w:r w:rsidR="00B905F1">
        <w:rPr>
          <w:rFonts w:hint="eastAsia"/>
        </w:rPr>
        <w:t>中核核电运行管理有限公司</w:t>
      </w:r>
      <w:r w:rsidR="002254C8">
        <w:rPr>
          <w:rFonts w:hint="eastAsia"/>
        </w:rPr>
        <w:t>编制，</w:t>
      </w:r>
      <w:r w:rsidR="00B905F1">
        <w:rPr>
          <w:rFonts w:hint="eastAsia"/>
        </w:rPr>
        <w:t>其它参编单位负责对章节的具体技术内容进行审查。</w:t>
      </w:r>
    </w:p>
    <w:p w:rsidR="00FB6407" w:rsidRDefault="00FB6407" w:rsidP="00FB6407"/>
    <w:p w:rsidR="00FB6407" w:rsidRPr="00A33BF8" w:rsidRDefault="00FB6407" w:rsidP="006633BA">
      <w:pPr>
        <w:outlineLvl w:val="0"/>
        <w:rPr>
          <w:b/>
          <w:sz w:val="28"/>
          <w:szCs w:val="28"/>
        </w:rPr>
      </w:pPr>
      <w:r w:rsidRPr="00A33BF8">
        <w:rPr>
          <w:rFonts w:hint="eastAsia"/>
          <w:b/>
          <w:sz w:val="28"/>
          <w:szCs w:val="28"/>
        </w:rPr>
        <w:lastRenderedPageBreak/>
        <w:t>二、标准编制原则和主要内容</w:t>
      </w:r>
    </w:p>
    <w:p w:rsidR="00FB6407" w:rsidRPr="00B24A56" w:rsidRDefault="00FB6407" w:rsidP="00FB6407">
      <w:pPr>
        <w:rPr>
          <w:b/>
        </w:rPr>
      </w:pPr>
      <w:r w:rsidRPr="00B24A56">
        <w:rPr>
          <w:rFonts w:hint="eastAsia"/>
          <w:b/>
        </w:rPr>
        <w:t>1、标准编制原则</w:t>
      </w:r>
    </w:p>
    <w:p w:rsidR="000C204E" w:rsidRPr="002254C8" w:rsidRDefault="00C478E3" w:rsidP="00971BBE">
      <w:pPr>
        <w:ind w:firstLineChars="200" w:firstLine="480"/>
      </w:pPr>
      <w:r w:rsidRPr="002254C8">
        <w:rPr>
          <w:rFonts w:hint="eastAsia"/>
        </w:rPr>
        <w:t>本标准的</w:t>
      </w:r>
      <w:r w:rsidR="004412BC">
        <w:rPr>
          <w:rFonts w:hint="eastAsia"/>
        </w:rPr>
        <w:t>编制</w:t>
      </w:r>
      <w:r w:rsidRPr="002254C8">
        <w:rPr>
          <w:rFonts w:hint="eastAsia"/>
        </w:rPr>
        <w:t>符合</w:t>
      </w:r>
      <w:r w:rsidR="00B905F1">
        <w:rPr>
          <w:rFonts w:hint="eastAsia"/>
        </w:rPr>
        <w:t>国内核电运行电厂</w:t>
      </w:r>
      <w:r w:rsidR="008F0708" w:rsidRPr="002254C8">
        <w:rPr>
          <w:rFonts w:hint="eastAsia"/>
        </w:rPr>
        <w:t>设备</w:t>
      </w:r>
      <w:r w:rsidR="00B905F1">
        <w:rPr>
          <w:rFonts w:hint="eastAsia"/>
        </w:rPr>
        <w:t>管理</w:t>
      </w:r>
      <w:r w:rsidRPr="002254C8">
        <w:rPr>
          <w:rFonts w:hint="eastAsia"/>
        </w:rPr>
        <w:t>的原则，本着先进性、科学性、合理性和可操作性的原则以及标准的目标、统一性、协调性、</w:t>
      </w:r>
      <w:r w:rsidRPr="002254C8">
        <w:t>实用性、一致性和</w:t>
      </w:r>
      <w:r w:rsidRPr="002254C8">
        <w:rPr>
          <w:rFonts w:hint="eastAsia"/>
        </w:rPr>
        <w:t>规范性原则来进行本标准的制定工作。</w:t>
      </w:r>
    </w:p>
    <w:p w:rsidR="008F0708" w:rsidRPr="002254C8" w:rsidRDefault="008F0708" w:rsidP="008F0708">
      <w:r w:rsidRPr="002254C8">
        <w:rPr>
          <w:rFonts w:hint="eastAsia"/>
        </w:rPr>
        <w:t>（</w:t>
      </w:r>
      <w:r w:rsidRPr="002254C8">
        <w:t>1）</w:t>
      </w:r>
      <w:r w:rsidR="00D235DD">
        <w:rPr>
          <w:rFonts w:hint="eastAsia"/>
        </w:rPr>
        <w:t>先进性</w:t>
      </w:r>
    </w:p>
    <w:p w:rsidR="008F0708" w:rsidRPr="00BE3E91" w:rsidRDefault="00BE3E91" w:rsidP="00971BBE">
      <w:pPr>
        <w:ind w:firstLineChars="200" w:firstLine="480"/>
      </w:pPr>
      <w:r w:rsidRPr="00BE3E91">
        <w:rPr>
          <w:rFonts w:hint="eastAsia"/>
        </w:rPr>
        <w:t>本标准吸收国外电厂的良好经验，结合国内电厂实际情况，在国内率先建立了核电厂关键敏感设备缓解策略分析应遵循的原则、及一套科学的方法与流程。</w:t>
      </w:r>
      <w:r>
        <w:rPr>
          <w:rFonts w:hint="eastAsia"/>
        </w:rPr>
        <w:t>本标准</w:t>
      </w:r>
      <w:r w:rsidRPr="00BE3E91">
        <w:rPr>
          <w:rFonts w:hint="eastAsia"/>
        </w:rPr>
        <w:t>填补了国内现有标准体系中关于核电厂键敏感设备管理的缓解策略分析方法的缺失，形成设备管理的闭环</w:t>
      </w:r>
      <w:r>
        <w:rPr>
          <w:rFonts w:hint="eastAsia"/>
        </w:rPr>
        <w:t>。</w:t>
      </w:r>
    </w:p>
    <w:p w:rsidR="00BE3E91" w:rsidRDefault="00BE3E91" w:rsidP="00BE3E91">
      <w:r>
        <w:rPr>
          <w:rFonts w:hint="eastAsia"/>
        </w:rPr>
        <w:t>（2）必要性</w:t>
      </w:r>
    </w:p>
    <w:p w:rsidR="00BE3E91" w:rsidRPr="00BE3E91" w:rsidRDefault="00BE3E91" w:rsidP="00BE3E91">
      <w:pPr>
        <w:ind w:firstLineChars="200" w:firstLine="480"/>
      </w:pPr>
      <w:r w:rsidRPr="00BE3E91">
        <w:rPr>
          <w:rFonts w:hint="eastAsia"/>
        </w:rPr>
        <w:t>对关键敏感设备进行缓解策略的开发和分析，制定相应的纠正行动 ，是确保核电机组关键敏感设备可靠性的重要手段。国内外目前只提出了关键敏感设备的管理方法，并没有具体的标准和导则来指导关键敏感设备缓解策略分析的开发。行业急需制定一份标准来规范核电厂关键敏感设备缓解策略的分析方法，进而推动核电厂关键敏感设备的可靠性提升。</w:t>
      </w:r>
    </w:p>
    <w:p w:rsidR="008F0708" w:rsidRPr="002254C8" w:rsidRDefault="008F0708" w:rsidP="008F0708">
      <w:r w:rsidRPr="002254C8">
        <w:rPr>
          <w:rFonts w:hint="eastAsia"/>
        </w:rPr>
        <w:t>（</w:t>
      </w:r>
      <w:r w:rsidR="00BE3E91">
        <w:t>3</w:t>
      </w:r>
      <w:r w:rsidRPr="002254C8">
        <w:t>）实用性</w:t>
      </w:r>
    </w:p>
    <w:p w:rsidR="008F0708" w:rsidRDefault="008F0708" w:rsidP="00971BBE">
      <w:pPr>
        <w:ind w:firstLineChars="200" w:firstLine="480"/>
      </w:pPr>
      <w:r w:rsidRPr="002254C8">
        <w:rPr>
          <w:rFonts w:hint="eastAsia"/>
        </w:rPr>
        <w:t>本标准规定了</w:t>
      </w:r>
      <w:r w:rsidR="005702A8">
        <w:rPr>
          <w:rFonts w:hint="eastAsia"/>
        </w:rPr>
        <w:t>核电厂关键敏感设备缓解策略分析的原则，建立了</w:t>
      </w:r>
      <w:r w:rsidR="001753CC">
        <w:rPr>
          <w:rFonts w:hint="eastAsia"/>
        </w:rPr>
        <w:t>缓解策略</w:t>
      </w:r>
      <w:r w:rsidR="005702A8">
        <w:rPr>
          <w:rFonts w:hint="eastAsia"/>
        </w:rPr>
        <w:t>分析</w:t>
      </w:r>
      <w:r w:rsidR="001753CC">
        <w:rPr>
          <w:rFonts w:hint="eastAsia"/>
        </w:rPr>
        <w:t>和开发</w:t>
      </w:r>
      <w:r w:rsidR="005702A8">
        <w:rPr>
          <w:rFonts w:hint="eastAsia"/>
        </w:rPr>
        <w:t>的前提；</w:t>
      </w:r>
      <w:r w:rsidR="001753CC">
        <w:rPr>
          <w:rFonts w:hint="eastAsia"/>
        </w:rPr>
        <w:t>本标准通过对技术管理、运行管理、维修管理三个维度的分析建立了缓解策略分析方法</w:t>
      </w:r>
      <w:r w:rsidRPr="002254C8">
        <w:rPr>
          <w:rFonts w:hint="eastAsia"/>
        </w:rPr>
        <w:t>，以统一</w:t>
      </w:r>
      <w:r w:rsidR="001753CC">
        <w:rPr>
          <w:rFonts w:hint="eastAsia"/>
        </w:rPr>
        <w:t>国内运行电厂关键敏感设备缓解策略的管理</w:t>
      </w:r>
      <w:r w:rsidRPr="002254C8">
        <w:rPr>
          <w:rFonts w:hint="eastAsia"/>
        </w:rPr>
        <w:t>方法，使其向科学化、合理化方向迈进，从而达到提高</w:t>
      </w:r>
      <w:r w:rsidR="001753CC">
        <w:rPr>
          <w:rFonts w:hint="eastAsia"/>
        </w:rPr>
        <w:t>核电厂关键敏感设备的可靠性</w:t>
      </w:r>
      <w:r w:rsidRPr="002254C8">
        <w:rPr>
          <w:rFonts w:hint="eastAsia"/>
        </w:rPr>
        <w:t>。</w:t>
      </w:r>
    </w:p>
    <w:p w:rsidR="00BE3E91" w:rsidRPr="00BE3E91" w:rsidRDefault="00BE3E91" w:rsidP="00971BBE">
      <w:pPr>
        <w:ind w:firstLineChars="200" w:firstLine="480"/>
      </w:pPr>
    </w:p>
    <w:p w:rsidR="00FB6407" w:rsidRPr="00B24A56" w:rsidRDefault="00FB6407" w:rsidP="00FB6407">
      <w:pPr>
        <w:rPr>
          <w:b/>
        </w:rPr>
      </w:pPr>
      <w:r w:rsidRPr="00B24A56">
        <w:rPr>
          <w:rFonts w:hint="eastAsia"/>
          <w:b/>
        </w:rPr>
        <w:t>2、标准主要内容的依据</w:t>
      </w:r>
    </w:p>
    <w:p w:rsidR="002C2616" w:rsidRPr="00971BBE" w:rsidRDefault="00971BBE" w:rsidP="00971BBE">
      <w:pPr>
        <w:autoSpaceDE w:val="0"/>
        <w:autoSpaceDN w:val="0"/>
        <w:adjustRightInd w:val="0"/>
        <w:spacing w:line="440" w:lineRule="exact"/>
        <w:ind w:firstLineChars="200" w:firstLine="480"/>
      </w:pPr>
      <w:r>
        <w:rPr>
          <w:rFonts w:hint="eastAsia"/>
        </w:rPr>
        <w:t>本</w:t>
      </w:r>
      <w:r w:rsidR="004412BC" w:rsidRPr="00E77043">
        <w:rPr>
          <w:rFonts w:hint="eastAsia"/>
        </w:rPr>
        <w:t>标准内部结构、格式与内容遵循GB/T 1.1《标准化工作导则第一部分标准的结构和编写规则》的相关规定</w:t>
      </w:r>
      <w:r w:rsidR="004412BC">
        <w:rPr>
          <w:rFonts w:hint="eastAsia"/>
        </w:rPr>
        <w:t>。</w:t>
      </w:r>
    </w:p>
    <w:p w:rsidR="004412BC" w:rsidRPr="00B01262" w:rsidRDefault="004412BC" w:rsidP="004412BC">
      <w:pPr>
        <w:autoSpaceDE w:val="0"/>
        <w:autoSpaceDN w:val="0"/>
        <w:adjustRightInd w:val="0"/>
        <w:spacing w:line="440" w:lineRule="exact"/>
        <w:ind w:firstLineChars="200" w:firstLine="480"/>
      </w:pPr>
      <w:r w:rsidRPr="00B01262">
        <w:rPr>
          <w:rFonts w:hint="eastAsia"/>
        </w:rPr>
        <w:t>本标准</w:t>
      </w:r>
      <w:r>
        <w:rPr>
          <w:rFonts w:hint="eastAsia"/>
        </w:rPr>
        <w:t>由</w:t>
      </w:r>
      <w:r w:rsidR="004D1433">
        <w:t>7</w:t>
      </w:r>
      <w:r w:rsidRPr="00B01262">
        <w:rPr>
          <w:rFonts w:hint="eastAsia"/>
        </w:rPr>
        <w:t>章正文，以下对各章的内容</w:t>
      </w:r>
      <w:r w:rsidR="009A5F18">
        <w:rPr>
          <w:rFonts w:hint="eastAsia"/>
        </w:rPr>
        <w:t>进行</w:t>
      </w:r>
      <w:r w:rsidRPr="00B01262">
        <w:rPr>
          <w:rFonts w:hint="eastAsia"/>
        </w:rPr>
        <w:t>简要说明：</w:t>
      </w:r>
    </w:p>
    <w:p w:rsidR="004412BC" w:rsidRPr="00B01262" w:rsidRDefault="004412BC" w:rsidP="005819A9">
      <w:pPr>
        <w:widowControl w:val="0"/>
        <w:numPr>
          <w:ilvl w:val="2"/>
          <w:numId w:val="1"/>
        </w:numPr>
        <w:spacing w:beforeLines="50" w:before="156" w:line="360" w:lineRule="exact"/>
        <w:ind w:left="426"/>
        <w:jc w:val="both"/>
      </w:pPr>
      <w:r w:rsidRPr="00B01262">
        <w:rPr>
          <w:rFonts w:hint="eastAsia"/>
        </w:rPr>
        <w:t>范围</w:t>
      </w:r>
    </w:p>
    <w:p w:rsidR="00D22495" w:rsidRDefault="004412BC" w:rsidP="00D22495">
      <w:pPr>
        <w:autoSpaceDE w:val="0"/>
        <w:autoSpaceDN w:val="0"/>
        <w:adjustRightInd w:val="0"/>
        <w:spacing w:line="440" w:lineRule="exact"/>
        <w:ind w:firstLineChars="200" w:firstLine="480"/>
      </w:pPr>
      <w:r w:rsidRPr="00B01262">
        <w:rPr>
          <w:rFonts w:hint="eastAsia"/>
        </w:rPr>
        <w:lastRenderedPageBreak/>
        <w:t>本章</w:t>
      </w:r>
      <w:r w:rsidR="00846AA8">
        <w:rPr>
          <w:rFonts w:hint="eastAsia"/>
        </w:rPr>
        <w:t>依据立项审批任务要求，</w:t>
      </w:r>
      <w:r w:rsidRPr="00B01262">
        <w:rPr>
          <w:rFonts w:hint="eastAsia"/>
        </w:rPr>
        <w:t>明确了标准的内容和适用范围，说明了</w:t>
      </w:r>
      <w:r w:rsidR="00D22495">
        <w:rPr>
          <w:rFonts w:hint="eastAsia"/>
        </w:rPr>
        <w:t>本标准适用于国内</w:t>
      </w:r>
      <w:r w:rsidR="00D22495" w:rsidRPr="00D22495">
        <w:rPr>
          <w:rFonts w:hint="eastAsia"/>
        </w:rPr>
        <w:t>在运核电机组且设备分级为关键级设备的缓解策略分析工作</w:t>
      </w:r>
      <w:r w:rsidR="00D22495">
        <w:rPr>
          <w:rFonts w:hint="eastAsia"/>
        </w:rPr>
        <w:t>。</w:t>
      </w:r>
    </w:p>
    <w:p w:rsidR="00846AA8" w:rsidRPr="00B01262" w:rsidRDefault="00846AA8" w:rsidP="00D22495">
      <w:pPr>
        <w:widowControl w:val="0"/>
        <w:numPr>
          <w:ilvl w:val="2"/>
          <w:numId w:val="1"/>
        </w:numPr>
        <w:spacing w:beforeLines="50" w:before="156" w:line="360" w:lineRule="exact"/>
        <w:ind w:left="426"/>
        <w:jc w:val="both"/>
      </w:pPr>
      <w:r w:rsidRPr="00B01262">
        <w:rPr>
          <w:rFonts w:hint="eastAsia"/>
        </w:rPr>
        <w:t>规范性引用文件</w:t>
      </w:r>
    </w:p>
    <w:p w:rsidR="00846AA8" w:rsidRPr="00B01262" w:rsidRDefault="00846AA8" w:rsidP="00846AA8">
      <w:pPr>
        <w:autoSpaceDE w:val="0"/>
        <w:autoSpaceDN w:val="0"/>
        <w:adjustRightInd w:val="0"/>
        <w:spacing w:line="440" w:lineRule="exact"/>
        <w:ind w:firstLineChars="200" w:firstLine="480"/>
      </w:pPr>
      <w:r w:rsidRPr="00B01262">
        <w:rPr>
          <w:rFonts w:hint="eastAsia"/>
        </w:rPr>
        <w:t>本章明确了规范性引用文件的内容，列出了正文中引用到的所有标准文件。对于明确引用其某一章节的引用文件，同时指定了文件版本的年号。</w:t>
      </w:r>
    </w:p>
    <w:p w:rsidR="004412BC" w:rsidRPr="00B01262" w:rsidRDefault="004412BC" w:rsidP="005819A9">
      <w:pPr>
        <w:widowControl w:val="0"/>
        <w:numPr>
          <w:ilvl w:val="2"/>
          <w:numId w:val="1"/>
        </w:numPr>
        <w:spacing w:beforeLines="50" w:before="156" w:line="360" w:lineRule="exact"/>
        <w:ind w:left="426"/>
        <w:jc w:val="both"/>
      </w:pPr>
      <w:r w:rsidRPr="00B01262">
        <w:rPr>
          <w:rFonts w:hint="eastAsia"/>
        </w:rPr>
        <w:t>术语和定义</w:t>
      </w:r>
    </w:p>
    <w:p w:rsidR="004412BC" w:rsidRPr="00B01262" w:rsidRDefault="004412BC" w:rsidP="004412BC">
      <w:pPr>
        <w:autoSpaceDE w:val="0"/>
        <w:autoSpaceDN w:val="0"/>
        <w:adjustRightInd w:val="0"/>
        <w:spacing w:line="440" w:lineRule="exact"/>
        <w:ind w:firstLineChars="200" w:firstLine="480"/>
      </w:pPr>
      <w:r w:rsidRPr="00B01262">
        <w:rPr>
          <w:rFonts w:hint="eastAsia"/>
        </w:rPr>
        <w:t>本章明确了正文中使用到的专业术语。主要对容易发生歧义的和比较生疏的术语进行了定义。</w:t>
      </w:r>
    </w:p>
    <w:p w:rsidR="004412BC" w:rsidRPr="00B01262" w:rsidRDefault="001A04A7" w:rsidP="005819A9">
      <w:pPr>
        <w:widowControl w:val="0"/>
        <w:numPr>
          <w:ilvl w:val="2"/>
          <w:numId w:val="1"/>
        </w:numPr>
        <w:spacing w:beforeLines="50" w:before="156" w:line="360" w:lineRule="exact"/>
        <w:ind w:left="426"/>
        <w:jc w:val="both"/>
      </w:pPr>
      <w:r>
        <w:rPr>
          <w:rFonts w:hint="eastAsia"/>
        </w:rPr>
        <w:t>缓解策略分析原则</w:t>
      </w:r>
    </w:p>
    <w:p w:rsidR="004412BC" w:rsidRDefault="004412BC" w:rsidP="00846AA8">
      <w:pPr>
        <w:autoSpaceDE w:val="0"/>
        <w:autoSpaceDN w:val="0"/>
        <w:adjustRightInd w:val="0"/>
        <w:spacing w:line="440" w:lineRule="exact"/>
        <w:ind w:firstLineChars="200" w:firstLine="480"/>
      </w:pPr>
      <w:r w:rsidRPr="00B01262">
        <w:rPr>
          <w:rFonts w:hint="eastAsia"/>
        </w:rPr>
        <w:t>本章</w:t>
      </w:r>
      <w:r w:rsidR="00AC1264">
        <w:rPr>
          <w:rFonts w:hint="eastAsia"/>
        </w:rPr>
        <w:t>规定了</w:t>
      </w:r>
      <w:r w:rsidR="001A04A7">
        <w:rPr>
          <w:rFonts w:hint="eastAsia"/>
        </w:rPr>
        <w:t>核电厂设备管理部门在开展关键敏感设备缓解策略分析之前应遵循</w:t>
      </w:r>
      <w:r w:rsidR="00EA10C8">
        <w:rPr>
          <w:rFonts w:hint="eastAsia"/>
        </w:rPr>
        <w:t>以下五项规定：</w:t>
      </w:r>
    </w:p>
    <w:p w:rsidR="00EA10C8" w:rsidRPr="00EA10C8" w:rsidRDefault="00EA10C8" w:rsidP="00EA10C8">
      <w:pPr>
        <w:pStyle w:val="aa"/>
        <w:numPr>
          <w:ilvl w:val="0"/>
          <w:numId w:val="4"/>
        </w:numPr>
        <w:spacing w:line="360" w:lineRule="auto"/>
        <w:ind w:firstLineChars="0"/>
        <w:rPr>
          <w:sz w:val="24"/>
        </w:rPr>
      </w:pPr>
      <w:r w:rsidRPr="00EA10C8">
        <w:rPr>
          <w:rFonts w:hint="eastAsia"/>
          <w:sz w:val="24"/>
        </w:rPr>
        <w:t>关键敏感设备的缓解策略分析需要覆盖每个SPV敏感部件的所有关键敏感故障模式；</w:t>
      </w:r>
    </w:p>
    <w:p w:rsidR="00EA10C8" w:rsidRPr="00EA10C8" w:rsidRDefault="00EA10C8" w:rsidP="00EA10C8">
      <w:pPr>
        <w:pStyle w:val="aa"/>
        <w:numPr>
          <w:ilvl w:val="0"/>
          <w:numId w:val="4"/>
        </w:numPr>
        <w:spacing w:line="360" w:lineRule="auto"/>
        <w:ind w:firstLineChars="0"/>
        <w:rPr>
          <w:sz w:val="24"/>
        </w:rPr>
      </w:pPr>
      <w:r w:rsidRPr="00EA10C8">
        <w:rPr>
          <w:rFonts w:hint="eastAsia"/>
          <w:sz w:val="24"/>
        </w:rPr>
        <w:t>关键敏感设备的缓解策略分析应由技术、维修及运行领域熟悉该设备的相关人员共同完成；</w:t>
      </w:r>
    </w:p>
    <w:p w:rsidR="00EA10C8" w:rsidRPr="00EA10C8" w:rsidRDefault="00EA10C8" w:rsidP="00EA10C8">
      <w:pPr>
        <w:pStyle w:val="aa"/>
        <w:numPr>
          <w:ilvl w:val="0"/>
          <w:numId w:val="4"/>
        </w:numPr>
        <w:spacing w:line="360" w:lineRule="auto"/>
        <w:ind w:firstLineChars="0"/>
        <w:rPr>
          <w:sz w:val="24"/>
        </w:rPr>
      </w:pPr>
      <w:r w:rsidRPr="00EA10C8">
        <w:rPr>
          <w:rFonts w:hint="eastAsia"/>
          <w:sz w:val="24"/>
        </w:rPr>
        <w:t>关键敏感设备敏感部件的关键敏感故障模式均应分别进行缓解策略的分析；</w:t>
      </w:r>
    </w:p>
    <w:p w:rsidR="00EA10C8" w:rsidRPr="00EA10C8" w:rsidRDefault="00EA10C8" w:rsidP="00EA10C8">
      <w:pPr>
        <w:pStyle w:val="aa"/>
        <w:numPr>
          <w:ilvl w:val="0"/>
          <w:numId w:val="4"/>
        </w:numPr>
        <w:spacing w:line="360" w:lineRule="auto"/>
        <w:ind w:firstLineChars="0"/>
        <w:rPr>
          <w:sz w:val="24"/>
        </w:rPr>
      </w:pPr>
      <w:r w:rsidRPr="00EA10C8">
        <w:rPr>
          <w:rFonts w:hint="eastAsia"/>
          <w:sz w:val="24"/>
        </w:rPr>
        <w:t>关键敏感设备缓解策略分析前，先收集相关文件资料，包括近两年来的关键敏感设备的维修历史，设备状态监督历史，内外经验反馈、停堆停机事件、设计变更及已识别的老化和过时问题等；</w:t>
      </w:r>
    </w:p>
    <w:p w:rsidR="00EA10C8" w:rsidRPr="00EA10C8" w:rsidRDefault="00EA10C8" w:rsidP="00EA10C8">
      <w:pPr>
        <w:pStyle w:val="aa"/>
        <w:numPr>
          <w:ilvl w:val="0"/>
          <w:numId w:val="4"/>
        </w:numPr>
        <w:spacing w:line="360" w:lineRule="auto"/>
        <w:ind w:firstLineChars="0"/>
        <w:rPr>
          <w:sz w:val="24"/>
        </w:rPr>
      </w:pPr>
      <w:r w:rsidRPr="00EA10C8">
        <w:rPr>
          <w:rFonts w:hint="eastAsia"/>
          <w:sz w:val="24"/>
        </w:rPr>
        <w:t>缓解策略分析首先从机理分析方面查找能够对该关键敏感故障模式的发生及后果缓解的方式和方法，再与核电厂现有的管理及技术要求进行比对，确认目前该设备在关键敏感故障模式缓解方面存在的不足，找出缓解要求与实际执行方面的偏差，有针对性地制定纠正行动计划，降低或消除已识别的SPV停堆/停机风险。</w:t>
      </w:r>
    </w:p>
    <w:p w:rsidR="004412BC" w:rsidRDefault="00EA10C8" w:rsidP="005819A9">
      <w:pPr>
        <w:widowControl w:val="0"/>
        <w:numPr>
          <w:ilvl w:val="2"/>
          <w:numId w:val="1"/>
        </w:numPr>
        <w:spacing w:beforeLines="50" w:before="156" w:line="360" w:lineRule="exact"/>
        <w:ind w:left="426"/>
        <w:jc w:val="both"/>
      </w:pPr>
      <w:r>
        <w:rPr>
          <w:rFonts w:hint="eastAsia"/>
        </w:rPr>
        <w:t>缓解策略分析</w:t>
      </w:r>
      <w:r w:rsidR="004D1433">
        <w:rPr>
          <w:rFonts w:hint="eastAsia"/>
        </w:rPr>
        <w:t>组织方式及内容</w:t>
      </w:r>
    </w:p>
    <w:p w:rsidR="004D1433" w:rsidRDefault="004D1433" w:rsidP="004D1433">
      <w:pPr>
        <w:widowControl w:val="0"/>
        <w:spacing w:beforeLines="50" w:before="156" w:line="360" w:lineRule="exact"/>
        <w:ind w:left="426"/>
        <w:jc w:val="both"/>
        <w:rPr>
          <w:rFonts w:hint="eastAsia"/>
        </w:rPr>
      </w:pPr>
      <w:r>
        <w:rPr>
          <w:rFonts w:hint="eastAsia"/>
        </w:rPr>
        <w:t>本章规定了开展关键敏感设备缓解策略分析应采取的组织形式以及分析的主要内容。</w:t>
      </w:r>
    </w:p>
    <w:p w:rsidR="004D1433" w:rsidRPr="00B01262" w:rsidRDefault="004D1433" w:rsidP="005819A9">
      <w:pPr>
        <w:widowControl w:val="0"/>
        <w:numPr>
          <w:ilvl w:val="2"/>
          <w:numId w:val="1"/>
        </w:numPr>
        <w:spacing w:beforeLines="50" w:before="156" w:line="360" w:lineRule="exact"/>
        <w:ind w:left="426"/>
        <w:jc w:val="both"/>
      </w:pPr>
      <w:r>
        <w:rPr>
          <w:rFonts w:hint="eastAsia"/>
        </w:rPr>
        <w:t>缓解策略分析方法</w:t>
      </w:r>
    </w:p>
    <w:p w:rsidR="004412BC" w:rsidRPr="00B01262" w:rsidRDefault="004412BC" w:rsidP="00846AA8">
      <w:pPr>
        <w:autoSpaceDE w:val="0"/>
        <w:autoSpaceDN w:val="0"/>
        <w:adjustRightInd w:val="0"/>
        <w:spacing w:line="440" w:lineRule="exact"/>
        <w:ind w:firstLineChars="200" w:firstLine="480"/>
      </w:pPr>
      <w:r w:rsidRPr="00B01262">
        <w:rPr>
          <w:rFonts w:hint="eastAsia"/>
        </w:rPr>
        <w:lastRenderedPageBreak/>
        <w:t>本章</w:t>
      </w:r>
      <w:r w:rsidR="00EA10C8">
        <w:rPr>
          <w:rFonts w:hint="eastAsia"/>
        </w:rPr>
        <w:t>分为3个章节，分别从技术管理领域、维修管理领域、运行管理领域三个不同的专业阐述关键敏感设备缓解策略方法的开发</w:t>
      </w:r>
      <w:r w:rsidRPr="00B01262">
        <w:rPr>
          <w:rFonts w:hint="eastAsia"/>
        </w:rPr>
        <w:t>。</w:t>
      </w:r>
    </w:p>
    <w:p w:rsidR="004412BC" w:rsidRPr="00B01262" w:rsidRDefault="004D1433" w:rsidP="00EA10C8">
      <w:pPr>
        <w:widowControl w:val="0"/>
        <w:spacing w:beforeLines="50" w:before="156" w:line="360" w:lineRule="exact"/>
        <w:ind w:left="426"/>
        <w:jc w:val="both"/>
      </w:pPr>
      <w:r>
        <w:t>6</w:t>
      </w:r>
      <w:r w:rsidR="00EA10C8">
        <w:t>.1</w:t>
      </w:r>
      <w:r w:rsidR="00A93092">
        <w:rPr>
          <w:rFonts w:hint="eastAsia"/>
        </w:rPr>
        <w:t>技术管理领域缓解策略分析</w:t>
      </w:r>
    </w:p>
    <w:p w:rsidR="004412BC" w:rsidRPr="00B01262" w:rsidRDefault="004412BC" w:rsidP="008138D8">
      <w:pPr>
        <w:autoSpaceDE w:val="0"/>
        <w:autoSpaceDN w:val="0"/>
        <w:adjustRightInd w:val="0"/>
        <w:spacing w:line="440" w:lineRule="exact"/>
        <w:ind w:firstLineChars="200" w:firstLine="480"/>
      </w:pPr>
      <w:r w:rsidRPr="00B01262">
        <w:rPr>
          <w:rFonts w:hint="eastAsia"/>
        </w:rPr>
        <w:t xml:space="preserve"> 本章</w:t>
      </w:r>
      <w:r w:rsidR="00A93092">
        <w:rPr>
          <w:rFonts w:hint="eastAsia"/>
        </w:rPr>
        <w:t>制定了技术管理领域的缓解策略分析方法，分别从预防性维修、维修后试验、设备性能监督、设备备件管理以及设备变更管理等六个方面规定了缓解策略分析的内容和方法</w:t>
      </w:r>
      <w:r w:rsidR="008138D8">
        <w:rPr>
          <w:rFonts w:hint="eastAsia"/>
        </w:rPr>
        <w:t>。</w:t>
      </w:r>
      <w:r w:rsidR="00BE3E91">
        <w:rPr>
          <w:rFonts w:hint="eastAsia"/>
        </w:rPr>
        <w:t>通过各项技术审查发现关键敏感设备在技术管理领域的弱项，来制定相应的缓解策略。</w:t>
      </w:r>
    </w:p>
    <w:p w:rsidR="00D27DFD" w:rsidRPr="00B01262" w:rsidRDefault="004D1433" w:rsidP="00D27DFD">
      <w:pPr>
        <w:widowControl w:val="0"/>
        <w:spacing w:beforeLines="50" w:before="156" w:line="360" w:lineRule="exact"/>
        <w:ind w:left="426"/>
        <w:jc w:val="both"/>
      </w:pPr>
      <w:r>
        <w:t>6</w:t>
      </w:r>
      <w:r w:rsidR="00D27DFD">
        <w:t>.2</w:t>
      </w:r>
      <w:r w:rsidR="00D27DFD">
        <w:rPr>
          <w:rFonts w:hint="eastAsia"/>
        </w:rPr>
        <w:t>维修管理领域缓解策略分析</w:t>
      </w:r>
    </w:p>
    <w:p w:rsidR="004412BC" w:rsidRPr="00B01262" w:rsidRDefault="004412BC" w:rsidP="008138D8">
      <w:pPr>
        <w:autoSpaceDE w:val="0"/>
        <w:autoSpaceDN w:val="0"/>
        <w:adjustRightInd w:val="0"/>
        <w:spacing w:line="440" w:lineRule="exact"/>
        <w:ind w:firstLineChars="200" w:firstLine="480"/>
      </w:pPr>
      <w:r w:rsidRPr="00B01262">
        <w:rPr>
          <w:rFonts w:hint="eastAsia"/>
        </w:rPr>
        <w:t>本章</w:t>
      </w:r>
      <w:r w:rsidR="00D27DFD">
        <w:rPr>
          <w:rFonts w:hint="eastAsia"/>
        </w:rPr>
        <w:t>从设备的维修检修规程、设备维修巡检两个方面阐述和制定了维修管理领域的缓解策略分析方法，通过各项技术审查发现关键敏感设备在维修管理领域的弱项，来制定相应的缓解策略。</w:t>
      </w:r>
    </w:p>
    <w:p w:rsidR="00BE3E91" w:rsidRPr="00B01262" w:rsidRDefault="004D1433" w:rsidP="00BE3E91">
      <w:pPr>
        <w:widowControl w:val="0"/>
        <w:spacing w:beforeLines="50" w:before="156" w:line="360" w:lineRule="exact"/>
        <w:ind w:left="426"/>
        <w:jc w:val="both"/>
      </w:pPr>
      <w:r>
        <w:t>6</w:t>
      </w:r>
      <w:r w:rsidR="00BE3E91">
        <w:t>.</w:t>
      </w:r>
      <w:r>
        <w:t>3</w:t>
      </w:r>
      <w:r w:rsidR="00BE3E91">
        <w:rPr>
          <w:rFonts w:hint="eastAsia"/>
        </w:rPr>
        <w:t>维修管理领域缓解策略分析</w:t>
      </w:r>
    </w:p>
    <w:p w:rsidR="009A5F18" w:rsidRDefault="00170B1B" w:rsidP="00BE3E91">
      <w:pPr>
        <w:autoSpaceDE w:val="0"/>
        <w:autoSpaceDN w:val="0"/>
        <w:adjustRightInd w:val="0"/>
        <w:spacing w:line="440" w:lineRule="exact"/>
        <w:ind w:firstLineChars="200" w:firstLine="480"/>
      </w:pPr>
      <w:r>
        <w:rPr>
          <w:rFonts w:hint="eastAsia"/>
        </w:rPr>
        <w:t>本章</w:t>
      </w:r>
      <w:r w:rsidR="00BE3E91">
        <w:rPr>
          <w:rFonts w:hint="eastAsia"/>
        </w:rPr>
        <w:t>从设备的运行巡检、设备运行隔离两个方面阐述和制定了运行管理领域的缓解策略分析方法，通过各项技术审查发现关键敏感设备在运行管理领域的弱项，来制定相应的缓解策略。</w:t>
      </w:r>
    </w:p>
    <w:p w:rsidR="004D1433" w:rsidRDefault="004D1433" w:rsidP="004D1433">
      <w:pPr>
        <w:widowControl w:val="0"/>
        <w:numPr>
          <w:ilvl w:val="2"/>
          <w:numId w:val="1"/>
        </w:numPr>
        <w:spacing w:beforeLines="50" w:before="156" w:line="360" w:lineRule="exact"/>
        <w:ind w:left="426"/>
        <w:jc w:val="both"/>
      </w:pPr>
      <w:r>
        <w:rPr>
          <w:rFonts w:hint="eastAsia"/>
        </w:rPr>
        <w:t>附录</w:t>
      </w:r>
    </w:p>
    <w:p w:rsidR="004D1433" w:rsidRPr="00BE3E91" w:rsidRDefault="004D1433" w:rsidP="004D1433">
      <w:pPr>
        <w:widowControl w:val="0"/>
        <w:spacing w:beforeLines="50" w:before="156" w:line="360" w:lineRule="exact"/>
        <w:ind w:left="426"/>
        <w:jc w:val="both"/>
        <w:rPr>
          <w:rFonts w:hint="eastAsia"/>
        </w:rPr>
      </w:pPr>
      <w:r>
        <w:rPr>
          <w:rFonts w:hint="eastAsia"/>
        </w:rPr>
        <w:t>附录主要提供了核电厂关键敏感设备缓解策略分析使用的标准过程表，以便分析人员可以按照标准过程表制定的内容完成缓解策略分析的过程。</w:t>
      </w:r>
      <w:bookmarkStart w:id="0" w:name="_GoBack"/>
      <w:bookmarkEnd w:id="0"/>
    </w:p>
    <w:p w:rsidR="00FB6407" w:rsidRPr="00B24A56" w:rsidRDefault="0024244C" w:rsidP="00FB6407">
      <w:pPr>
        <w:rPr>
          <w:b/>
        </w:rPr>
      </w:pPr>
      <w:r w:rsidRPr="00B24A56">
        <w:rPr>
          <w:rFonts w:hint="eastAsia"/>
          <w:b/>
        </w:rPr>
        <w:t>3、解决的主要问题</w:t>
      </w:r>
    </w:p>
    <w:p w:rsidR="003D10D4" w:rsidRPr="00B66477" w:rsidRDefault="003D10D4" w:rsidP="003D10D4">
      <w:pPr>
        <w:ind w:firstLineChars="200" w:firstLine="480"/>
      </w:pPr>
      <w:r w:rsidRPr="00B66477">
        <w:rPr>
          <w:rFonts w:hint="eastAsia"/>
        </w:rPr>
        <w:t>本标准规定了</w:t>
      </w:r>
      <w:r w:rsidR="007C2AEC">
        <w:rPr>
          <w:rFonts w:hint="eastAsia"/>
        </w:rPr>
        <w:t>核电运行电厂关键敏感设备缓解策略分析的方法，为业内提高关键敏感设备的可靠性提供了分析工具。</w:t>
      </w:r>
    </w:p>
    <w:p w:rsidR="00B24A56" w:rsidRDefault="00B24A56" w:rsidP="00FB6407"/>
    <w:p w:rsidR="0024244C" w:rsidRPr="00A33BF8" w:rsidRDefault="00285F39" w:rsidP="006633BA">
      <w:pPr>
        <w:outlineLvl w:val="0"/>
        <w:rPr>
          <w:b/>
          <w:sz w:val="28"/>
          <w:szCs w:val="28"/>
        </w:rPr>
      </w:pPr>
      <w:r w:rsidRPr="00A33BF8">
        <w:rPr>
          <w:rFonts w:hint="eastAsia"/>
          <w:b/>
          <w:sz w:val="28"/>
          <w:szCs w:val="28"/>
        </w:rPr>
        <w:t>三、主要试验（或验证）情况</w:t>
      </w:r>
    </w:p>
    <w:p w:rsidR="002C2616" w:rsidRPr="00732650" w:rsidRDefault="00D27DFD" w:rsidP="00732650">
      <w:pPr>
        <w:autoSpaceDE w:val="0"/>
        <w:autoSpaceDN w:val="0"/>
        <w:adjustRightInd w:val="0"/>
        <w:spacing w:line="440" w:lineRule="exact"/>
        <w:ind w:firstLineChars="200" w:firstLine="480"/>
      </w:pPr>
      <w:r>
        <w:rPr>
          <w:rFonts w:hint="eastAsia"/>
        </w:rPr>
        <w:t>无</w:t>
      </w:r>
    </w:p>
    <w:p w:rsidR="004656F6" w:rsidRDefault="004656F6" w:rsidP="00FB6407"/>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20FE0" w:rsidP="00732650">
      <w:pPr>
        <w:autoSpaceDE w:val="0"/>
        <w:autoSpaceDN w:val="0"/>
        <w:adjustRightInd w:val="0"/>
        <w:spacing w:line="440" w:lineRule="exact"/>
        <w:ind w:firstLineChars="200" w:firstLine="480"/>
      </w:pPr>
      <w:r w:rsidRPr="00732650">
        <w:rPr>
          <w:rFonts w:hint="eastAsia"/>
        </w:rPr>
        <w:t>本标准不涉及专利问题</w:t>
      </w:r>
      <w:r w:rsidRPr="00520FE0">
        <w:rPr>
          <w:rFonts w:hint="eastAsia"/>
        </w:rPr>
        <w:t>。</w:t>
      </w:r>
    </w:p>
    <w:p w:rsidR="00285F39" w:rsidRDefault="00285F39" w:rsidP="00FB6407"/>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732650" w:rsidRPr="00732650" w:rsidRDefault="000322AE" w:rsidP="00732650">
      <w:pPr>
        <w:autoSpaceDE w:val="0"/>
        <w:autoSpaceDN w:val="0"/>
        <w:adjustRightInd w:val="0"/>
        <w:spacing w:line="440" w:lineRule="exact"/>
        <w:ind w:firstLineChars="200" w:firstLine="480"/>
      </w:pPr>
      <w:r>
        <w:rPr>
          <w:rFonts w:hint="eastAsia"/>
        </w:rPr>
        <w:lastRenderedPageBreak/>
        <w:t>本标准的制定，</w:t>
      </w:r>
      <w:r w:rsidRPr="000322AE">
        <w:rPr>
          <w:rFonts w:hint="eastAsia"/>
        </w:rPr>
        <w:t>为国内在</w:t>
      </w:r>
      <w:r>
        <w:rPr>
          <w:rFonts w:hint="eastAsia"/>
        </w:rPr>
        <w:t>运核电厂的对电厂关键敏感设备进行缓解策略开发，应用提供科学的理论依据，为国内各运行电厂提升设备的可靠性提供了分析工具。</w:t>
      </w:r>
    </w:p>
    <w:p w:rsidR="00DC29B1" w:rsidRDefault="00DC29B1" w:rsidP="00FB6407"/>
    <w:p w:rsidR="00285F39" w:rsidRPr="00A33BF8" w:rsidRDefault="00F60B7D" w:rsidP="006633BA">
      <w:pPr>
        <w:outlineLvl w:val="0"/>
        <w:rPr>
          <w:b/>
          <w:sz w:val="28"/>
          <w:szCs w:val="28"/>
        </w:rPr>
      </w:pPr>
      <w:r w:rsidRPr="00A33BF8">
        <w:rPr>
          <w:rFonts w:hint="eastAsia"/>
          <w:b/>
          <w:sz w:val="28"/>
          <w:szCs w:val="28"/>
        </w:rPr>
        <w:t>六、与国际、国外对比情况</w:t>
      </w:r>
    </w:p>
    <w:p w:rsidR="00BE3E91" w:rsidRPr="00BE3E91" w:rsidRDefault="00BE3E91" w:rsidP="00BE3E91">
      <w:pPr>
        <w:ind w:firstLineChars="200" w:firstLine="480"/>
      </w:pPr>
      <w:r w:rsidRPr="00BE3E91">
        <w:rPr>
          <w:rFonts w:hint="eastAsia"/>
        </w:rPr>
        <w:t>国外：本标准为新制定的推荐性团体标准，无国外标准参考，但充分借鉴了国外的技术实践经验。美国电力研究院（简称EPRI）在2015年曾发布了一份技术导则《Single Point Vulnerability Process Guide》里面描述了关键敏感设备管理的全过程，包括关键敏感设备（SPV）缓解的策略，但未提供具体的缓解策略分析方法。</w:t>
      </w:r>
    </w:p>
    <w:p w:rsidR="00BE3E91" w:rsidRPr="00BE3E91" w:rsidRDefault="00BE3E91" w:rsidP="00BE3E91">
      <w:pPr>
        <w:ind w:firstLineChars="200" w:firstLine="480"/>
      </w:pPr>
      <w:r w:rsidRPr="00BE3E91">
        <w:rPr>
          <w:rFonts w:hint="eastAsia"/>
        </w:rPr>
        <w:t>国内：与国内相关标准保持一致。</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Default="00CB603C" w:rsidP="00886BE0">
      <w:pPr>
        <w:autoSpaceDE w:val="0"/>
        <w:autoSpaceDN w:val="0"/>
        <w:adjustRightInd w:val="0"/>
        <w:spacing w:line="440" w:lineRule="exact"/>
        <w:ind w:firstLineChars="200" w:firstLine="480"/>
      </w:pPr>
      <w:r w:rsidRPr="0062218E">
        <w:rPr>
          <w:rFonts w:hint="eastAsia"/>
        </w:rPr>
        <w:t>本标准与现行相关法律、法规、规章及相关标准协调一致。</w:t>
      </w:r>
    </w:p>
    <w:p w:rsidR="00886BE0" w:rsidRPr="0062218E" w:rsidRDefault="00886BE0" w:rsidP="00886BE0">
      <w:pPr>
        <w:autoSpaceDE w:val="0"/>
        <w:autoSpaceDN w:val="0"/>
        <w:adjustRightInd w:val="0"/>
        <w:spacing w:line="440" w:lineRule="exact"/>
        <w:ind w:firstLineChars="200" w:firstLine="480"/>
      </w:pP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Default="0062218E" w:rsidP="00886BE0">
      <w:pPr>
        <w:autoSpaceDE w:val="0"/>
        <w:autoSpaceDN w:val="0"/>
        <w:adjustRightInd w:val="0"/>
        <w:spacing w:line="440" w:lineRule="exact"/>
        <w:ind w:firstLineChars="200" w:firstLine="480"/>
      </w:pPr>
      <w:r>
        <w:rPr>
          <w:rFonts w:hint="eastAsia"/>
        </w:rPr>
        <w:t>无。</w:t>
      </w:r>
    </w:p>
    <w:p w:rsidR="00A740E0" w:rsidRDefault="00A740E0" w:rsidP="00F60B7D"/>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886BE0">
      <w:pPr>
        <w:autoSpaceDE w:val="0"/>
        <w:autoSpaceDN w:val="0"/>
        <w:adjustRightInd w:val="0"/>
        <w:spacing w:line="440" w:lineRule="exact"/>
        <w:ind w:firstLineChars="200" w:firstLine="480"/>
      </w:pPr>
      <w:r w:rsidRPr="00A56356">
        <w:rPr>
          <w:rFonts w:hint="eastAsia"/>
        </w:rPr>
        <w:t>建议本标准的性质为团体标准。</w:t>
      </w:r>
    </w:p>
    <w:p w:rsidR="00A56356" w:rsidRPr="00E0783F" w:rsidRDefault="00A56356" w:rsidP="00F60B7D">
      <w:pPr>
        <w:rPr>
          <w:i/>
        </w:rPr>
      </w:pP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F60B7D" w:rsidRPr="0062218E" w:rsidRDefault="00F60B7D" w:rsidP="00886BE0">
      <w:pPr>
        <w:autoSpaceDE w:val="0"/>
        <w:autoSpaceDN w:val="0"/>
        <w:adjustRightInd w:val="0"/>
        <w:spacing w:line="440" w:lineRule="exact"/>
        <w:ind w:firstLineChars="200" w:firstLine="480"/>
      </w:pPr>
      <w:r w:rsidRPr="0062218E">
        <w:rPr>
          <w:rFonts w:hint="eastAsia"/>
        </w:rPr>
        <w:t>标准发布后，</w:t>
      </w:r>
      <w:r w:rsidR="00B905F1">
        <w:rPr>
          <w:rFonts w:hint="eastAsia"/>
        </w:rPr>
        <w:t>中核核电运行管理有限公司</w:t>
      </w:r>
      <w:r w:rsidRPr="0062218E">
        <w:rPr>
          <w:rFonts w:hint="eastAsia"/>
        </w:rPr>
        <w:t>将配合中国核能行业协会组织行业召开标准宣贯会，开展培训活动，促进该标准更好的贯彻实施。</w:t>
      </w:r>
    </w:p>
    <w:p w:rsidR="00A740E0" w:rsidRPr="00F60B7D" w:rsidRDefault="00A740E0" w:rsidP="00F60B7D">
      <w:pPr>
        <w:rPr>
          <w:i/>
        </w:rPr>
      </w:pP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62218E" w:rsidRDefault="0062218E" w:rsidP="00886BE0">
      <w:pPr>
        <w:autoSpaceDE w:val="0"/>
        <w:autoSpaceDN w:val="0"/>
        <w:adjustRightInd w:val="0"/>
        <w:spacing w:line="440" w:lineRule="exact"/>
        <w:ind w:firstLineChars="200" w:firstLine="480"/>
      </w:pPr>
      <w:r w:rsidRPr="0062218E">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62218E" w:rsidRDefault="0062218E" w:rsidP="00886BE0">
      <w:pPr>
        <w:autoSpaceDE w:val="0"/>
        <w:autoSpaceDN w:val="0"/>
        <w:adjustRightInd w:val="0"/>
        <w:spacing w:line="440" w:lineRule="exact"/>
        <w:ind w:firstLineChars="200" w:firstLine="480"/>
      </w:pPr>
      <w:r w:rsidRPr="0062218E">
        <w:rPr>
          <w:rFonts w:hint="eastAsia"/>
        </w:rPr>
        <w:lastRenderedPageBreak/>
        <w:t>无。</w:t>
      </w:r>
    </w:p>
    <w:sectPr w:rsidR="00F60B7D" w:rsidRPr="0062218E" w:rsidSect="008004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F0D" w:rsidRDefault="00DC7F0D" w:rsidP="00C35EBE">
      <w:pPr>
        <w:spacing w:line="240" w:lineRule="auto"/>
      </w:pPr>
      <w:r>
        <w:separator/>
      </w:r>
    </w:p>
  </w:endnote>
  <w:endnote w:type="continuationSeparator" w:id="0">
    <w:p w:rsidR="00DC7F0D" w:rsidRDefault="00DC7F0D" w:rsidP="00C35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F0D" w:rsidRDefault="00DC7F0D" w:rsidP="00C35EBE">
      <w:pPr>
        <w:spacing w:line="240" w:lineRule="auto"/>
      </w:pPr>
      <w:r>
        <w:separator/>
      </w:r>
    </w:p>
  </w:footnote>
  <w:footnote w:type="continuationSeparator" w:id="0">
    <w:p w:rsidR="00DC7F0D" w:rsidRDefault="00DC7F0D" w:rsidP="00C35E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38B683"/>
    <w:multiLevelType w:val="multilevel"/>
    <w:tmpl w:val="8538B683"/>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F9A254D"/>
    <w:multiLevelType w:val="hybridMultilevel"/>
    <w:tmpl w:val="58BA332C"/>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5A6E5E"/>
    <w:multiLevelType w:val="hybridMultilevel"/>
    <w:tmpl w:val="9D182122"/>
    <w:lvl w:ilvl="0" w:tplc="38BCCDF4">
      <w:start w:val="1"/>
      <w:numFmt w:val="japaneseCounting"/>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rPr>
        <w:rFonts w:hint="eastAsia"/>
      </w:rPr>
    </w:lvl>
    <w:lvl w:ilvl="2" w:tplc="9AC89A98">
      <w:start w:val="1"/>
      <w:numFmt w:val="decimal"/>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F031E63"/>
    <w:multiLevelType w:val="hybridMultilevel"/>
    <w:tmpl w:val="F8F45F0A"/>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F622399"/>
    <w:multiLevelType w:val="hybridMultilevel"/>
    <w:tmpl w:val="ABF8B7C4"/>
    <w:lvl w:ilvl="0" w:tplc="6BFAEB50">
      <w:start w:val="1"/>
      <w:numFmt w:val="bullet"/>
      <w:lvlText w:val=""/>
      <w:lvlJc w:val="left"/>
      <w:pPr>
        <w:tabs>
          <w:tab w:val="num" w:pos="720"/>
        </w:tabs>
        <w:ind w:left="720" w:hanging="360"/>
      </w:pPr>
      <w:rPr>
        <w:rFonts w:ascii="Wingdings" w:hAnsi="Wingdings" w:hint="default"/>
      </w:rPr>
    </w:lvl>
    <w:lvl w:ilvl="1" w:tplc="FCA2643C" w:tentative="1">
      <w:start w:val="1"/>
      <w:numFmt w:val="bullet"/>
      <w:lvlText w:val=""/>
      <w:lvlJc w:val="left"/>
      <w:pPr>
        <w:tabs>
          <w:tab w:val="num" w:pos="1440"/>
        </w:tabs>
        <w:ind w:left="1440" w:hanging="360"/>
      </w:pPr>
      <w:rPr>
        <w:rFonts w:ascii="Wingdings" w:hAnsi="Wingdings" w:hint="default"/>
      </w:rPr>
    </w:lvl>
    <w:lvl w:ilvl="2" w:tplc="E39C5C14" w:tentative="1">
      <w:start w:val="1"/>
      <w:numFmt w:val="bullet"/>
      <w:lvlText w:val=""/>
      <w:lvlJc w:val="left"/>
      <w:pPr>
        <w:tabs>
          <w:tab w:val="num" w:pos="2160"/>
        </w:tabs>
        <w:ind w:left="2160" w:hanging="360"/>
      </w:pPr>
      <w:rPr>
        <w:rFonts w:ascii="Wingdings" w:hAnsi="Wingdings" w:hint="default"/>
      </w:rPr>
    </w:lvl>
    <w:lvl w:ilvl="3" w:tplc="E5D00964" w:tentative="1">
      <w:start w:val="1"/>
      <w:numFmt w:val="bullet"/>
      <w:lvlText w:val=""/>
      <w:lvlJc w:val="left"/>
      <w:pPr>
        <w:tabs>
          <w:tab w:val="num" w:pos="2880"/>
        </w:tabs>
        <w:ind w:left="2880" w:hanging="360"/>
      </w:pPr>
      <w:rPr>
        <w:rFonts w:ascii="Wingdings" w:hAnsi="Wingdings" w:hint="default"/>
      </w:rPr>
    </w:lvl>
    <w:lvl w:ilvl="4" w:tplc="9D8EF460" w:tentative="1">
      <w:start w:val="1"/>
      <w:numFmt w:val="bullet"/>
      <w:lvlText w:val=""/>
      <w:lvlJc w:val="left"/>
      <w:pPr>
        <w:tabs>
          <w:tab w:val="num" w:pos="3600"/>
        </w:tabs>
        <w:ind w:left="3600" w:hanging="360"/>
      </w:pPr>
      <w:rPr>
        <w:rFonts w:ascii="Wingdings" w:hAnsi="Wingdings" w:hint="default"/>
      </w:rPr>
    </w:lvl>
    <w:lvl w:ilvl="5" w:tplc="C626569E" w:tentative="1">
      <w:start w:val="1"/>
      <w:numFmt w:val="bullet"/>
      <w:lvlText w:val=""/>
      <w:lvlJc w:val="left"/>
      <w:pPr>
        <w:tabs>
          <w:tab w:val="num" w:pos="4320"/>
        </w:tabs>
        <w:ind w:left="4320" w:hanging="360"/>
      </w:pPr>
      <w:rPr>
        <w:rFonts w:ascii="Wingdings" w:hAnsi="Wingdings" w:hint="default"/>
      </w:rPr>
    </w:lvl>
    <w:lvl w:ilvl="6" w:tplc="69C2B790" w:tentative="1">
      <w:start w:val="1"/>
      <w:numFmt w:val="bullet"/>
      <w:lvlText w:val=""/>
      <w:lvlJc w:val="left"/>
      <w:pPr>
        <w:tabs>
          <w:tab w:val="num" w:pos="5040"/>
        </w:tabs>
        <w:ind w:left="5040" w:hanging="360"/>
      </w:pPr>
      <w:rPr>
        <w:rFonts w:ascii="Wingdings" w:hAnsi="Wingdings" w:hint="default"/>
      </w:rPr>
    </w:lvl>
    <w:lvl w:ilvl="7" w:tplc="BF9A083A" w:tentative="1">
      <w:start w:val="1"/>
      <w:numFmt w:val="bullet"/>
      <w:lvlText w:val=""/>
      <w:lvlJc w:val="left"/>
      <w:pPr>
        <w:tabs>
          <w:tab w:val="num" w:pos="5760"/>
        </w:tabs>
        <w:ind w:left="5760" w:hanging="360"/>
      </w:pPr>
      <w:rPr>
        <w:rFonts w:ascii="Wingdings" w:hAnsi="Wingdings" w:hint="default"/>
      </w:rPr>
    </w:lvl>
    <w:lvl w:ilvl="8" w:tplc="D85E3C4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05A82"/>
    <w:rsid w:val="000322AE"/>
    <w:rsid w:val="00040A0B"/>
    <w:rsid w:val="0004736B"/>
    <w:rsid w:val="000C204E"/>
    <w:rsid w:val="0010139A"/>
    <w:rsid w:val="00120BF0"/>
    <w:rsid w:val="00132C00"/>
    <w:rsid w:val="00161CD2"/>
    <w:rsid w:val="00170B1B"/>
    <w:rsid w:val="001753CC"/>
    <w:rsid w:val="001775BD"/>
    <w:rsid w:val="001A04A7"/>
    <w:rsid w:val="002254C8"/>
    <w:rsid w:val="0024244C"/>
    <w:rsid w:val="00243939"/>
    <w:rsid w:val="00285F39"/>
    <w:rsid w:val="002B3459"/>
    <w:rsid w:val="002C2616"/>
    <w:rsid w:val="002E1166"/>
    <w:rsid w:val="002E1F35"/>
    <w:rsid w:val="003D10D4"/>
    <w:rsid w:val="004412BC"/>
    <w:rsid w:val="004656F6"/>
    <w:rsid w:val="00472D7C"/>
    <w:rsid w:val="004D1433"/>
    <w:rsid w:val="00520FE0"/>
    <w:rsid w:val="005505AE"/>
    <w:rsid w:val="005702A8"/>
    <w:rsid w:val="005819A9"/>
    <w:rsid w:val="00587A3B"/>
    <w:rsid w:val="005E5EE7"/>
    <w:rsid w:val="0062218E"/>
    <w:rsid w:val="00653319"/>
    <w:rsid w:val="006633BA"/>
    <w:rsid w:val="0069157A"/>
    <w:rsid w:val="006A6B56"/>
    <w:rsid w:val="006E0F94"/>
    <w:rsid w:val="0070047E"/>
    <w:rsid w:val="00716515"/>
    <w:rsid w:val="00721046"/>
    <w:rsid w:val="00732650"/>
    <w:rsid w:val="00764E9E"/>
    <w:rsid w:val="007C2AEC"/>
    <w:rsid w:val="008004AF"/>
    <w:rsid w:val="00811833"/>
    <w:rsid w:val="008138D8"/>
    <w:rsid w:val="00846AA8"/>
    <w:rsid w:val="00876E82"/>
    <w:rsid w:val="00881EC8"/>
    <w:rsid w:val="00886BE0"/>
    <w:rsid w:val="008F0708"/>
    <w:rsid w:val="0094219A"/>
    <w:rsid w:val="00971BBE"/>
    <w:rsid w:val="009A5F18"/>
    <w:rsid w:val="00A33BF8"/>
    <w:rsid w:val="00A4039C"/>
    <w:rsid w:val="00A56356"/>
    <w:rsid w:val="00A740E0"/>
    <w:rsid w:val="00A83639"/>
    <w:rsid w:val="00A93092"/>
    <w:rsid w:val="00AA3248"/>
    <w:rsid w:val="00AB5F92"/>
    <w:rsid w:val="00AC1264"/>
    <w:rsid w:val="00AC1E52"/>
    <w:rsid w:val="00AC4050"/>
    <w:rsid w:val="00AE1F12"/>
    <w:rsid w:val="00B04A8A"/>
    <w:rsid w:val="00B07615"/>
    <w:rsid w:val="00B113EF"/>
    <w:rsid w:val="00B24A56"/>
    <w:rsid w:val="00B86915"/>
    <w:rsid w:val="00B905F1"/>
    <w:rsid w:val="00BE3E91"/>
    <w:rsid w:val="00C150C2"/>
    <w:rsid w:val="00C35EBE"/>
    <w:rsid w:val="00C458A5"/>
    <w:rsid w:val="00C478E3"/>
    <w:rsid w:val="00CB603C"/>
    <w:rsid w:val="00D22495"/>
    <w:rsid w:val="00D235DD"/>
    <w:rsid w:val="00D27DFD"/>
    <w:rsid w:val="00D6347C"/>
    <w:rsid w:val="00D73446"/>
    <w:rsid w:val="00DC29B1"/>
    <w:rsid w:val="00DC7F0D"/>
    <w:rsid w:val="00E0783F"/>
    <w:rsid w:val="00E64120"/>
    <w:rsid w:val="00EA10C8"/>
    <w:rsid w:val="00F215A5"/>
    <w:rsid w:val="00F60B7D"/>
    <w:rsid w:val="00F727D6"/>
    <w:rsid w:val="00FB6407"/>
    <w:rsid w:val="00FC0C7C"/>
    <w:rsid w:val="00FC3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944C4"/>
  <w15:docId w15:val="{56D0D214-88D3-4A2A-9E8F-4328EA15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4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a5"/>
    <w:uiPriority w:val="99"/>
    <w:semiHidden/>
    <w:unhideWhenUsed/>
    <w:rsid w:val="00D6347C"/>
    <w:rPr>
      <w:sz w:val="18"/>
      <w:szCs w:val="18"/>
    </w:rPr>
  </w:style>
  <w:style w:type="character" w:customStyle="1" w:styleId="a5">
    <w:name w:val="文档结构图 字符"/>
    <w:basedOn w:val="a0"/>
    <w:link w:val="a4"/>
    <w:uiPriority w:val="99"/>
    <w:semiHidden/>
    <w:rsid w:val="00D6347C"/>
    <w:rPr>
      <w:sz w:val="18"/>
      <w:szCs w:val="18"/>
    </w:rPr>
  </w:style>
  <w:style w:type="paragraph" w:styleId="a6">
    <w:name w:val="header"/>
    <w:basedOn w:val="a"/>
    <w:link w:val="a7"/>
    <w:uiPriority w:val="99"/>
    <w:semiHidden/>
    <w:unhideWhenUsed/>
    <w:rsid w:val="00C35EBE"/>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semiHidden/>
    <w:rsid w:val="00C35EBE"/>
    <w:rPr>
      <w:sz w:val="18"/>
      <w:szCs w:val="18"/>
    </w:rPr>
  </w:style>
  <w:style w:type="paragraph" w:styleId="a8">
    <w:name w:val="footer"/>
    <w:basedOn w:val="a"/>
    <w:link w:val="a9"/>
    <w:uiPriority w:val="99"/>
    <w:semiHidden/>
    <w:unhideWhenUsed/>
    <w:rsid w:val="00C35EBE"/>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semiHidden/>
    <w:rsid w:val="00C35EBE"/>
    <w:rPr>
      <w:sz w:val="18"/>
      <w:szCs w:val="18"/>
    </w:rPr>
  </w:style>
  <w:style w:type="paragraph" w:customStyle="1" w:styleId="aa">
    <w:name w:val="段"/>
    <w:link w:val="Char"/>
    <w:qFormat/>
    <w:rsid w:val="00EA10C8"/>
    <w:pPr>
      <w:tabs>
        <w:tab w:val="center" w:pos="4201"/>
        <w:tab w:val="right" w:leader="dot" w:pos="9298"/>
      </w:tabs>
      <w:autoSpaceDE w:val="0"/>
      <w:autoSpaceDN w:val="0"/>
      <w:spacing w:line="240" w:lineRule="auto"/>
      <w:ind w:firstLineChars="200" w:firstLine="420"/>
      <w:jc w:val="both"/>
    </w:pPr>
    <w:rPr>
      <w:rFonts w:hAnsi="Times New Roman" w:cs="Times New Roman"/>
      <w:kern w:val="0"/>
      <w:sz w:val="21"/>
      <w:szCs w:val="20"/>
    </w:rPr>
  </w:style>
  <w:style w:type="character" w:customStyle="1" w:styleId="Char">
    <w:name w:val="段 Char"/>
    <w:link w:val="aa"/>
    <w:qFormat/>
    <w:rsid w:val="00EA10C8"/>
    <w:rPr>
      <w:rFonts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127875">
      <w:bodyDiv w:val="1"/>
      <w:marLeft w:val="0"/>
      <w:marRight w:val="0"/>
      <w:marTop w:val="0"/>
      <w:marBottom w:val="0"/>
      <w:divBdr>
        <w:top w:val="none" w:sz="0" w:space="0" w:color="auto"/>
        <w:left w:val="none" w:sz="0" w:space="0" w:color="auto"/>
        <w:bottom w:val="none" w:sz="0" w:space="0" w:color="auto"/>
        <w:right w:val="none" w:sz="0" w:space="0" w:color="auto"/>
      </w:divBdr>
      <w:divsChild>
        <w:div w:id="2040623537">
          <w:marLeft w:val="547"/>
          <w:marRight w:val="0"/>
          <w:marTop w:val="0"/>
          <w:marBottom w:val="0"/>
          <w:divBdr>
            <w:top w:val="none" w:sz="0" w:space="0" w:color="auto"/>
            <w:left w:val="none" w:sz="0" w:space="0" w:color="auto"/>
            <w:bottom w:val="none" w:sz="0" w:space="0" w:color="auto"/>
            <w:right w:val="none" w:sz="0" w:space="0" w:color="auto"/>
          </w:divBdr>
        </w:div>
      </w:divsChild>
    </w:div>
    <w:div w:id="1048069264">
      <w:bodyDiv w:val="1"/>
      <w:marLeft w:val="0"/>
      <w:marRight w:val="0"/>
      <w:marTop w:val="0"/>
      <w:marBottom w:val="0"/>
      <w:divBdr>
        <w:top w:val="none" w:sz="0" w:space="0" w:color="auto"/>
        <w:left w:val="none" w:sz="0" w:space="0" w:color="auto"/>
        <w:bottom w:val="none" w:sz="0" w:space="0" w:color="auto"/>
        <w:right w:val="none" w:sz="0" w:space="0" w:color="auto"/>
      </w:divBdr>
      <w:divsChild>
        <w:div w:id="181482681">
          <w:marLeft w:val="446"/>
          <w:marRight w:val="0"/>
          <w:marTop w:val="240"/>
          <w:marBottom w:val="0"/>
          <w:divBdr>
            <w:top w:val="none" w:sz="0" w:space="0" w:color="auto"/>
            <w:left w:val="none" w:sz="0" w:space="0" w:color="auto"/>
            <w:bottom w:val="none" w:sz="0" w:space="0" w:color="auto"/>
            <w:right w:val="none" w:sz="0" w:space="0" w:color="auto"/>
          </w:divBdr>
        </w:div>
      </w:divsChild>
    </w:div>
    <w:div w:id="1570458146">
      <w:bodyDiv w:val="1"/>
      <w:marLeft w:val="0"/>
      <w:marRight w:val="0"/>
      <w:marTop w:val="0"/>
      <w:marBottom w:val="0"/>
      <w:divBdr>
        <w:top w:val="none" w:sz="0" w:space="0" w:color="auto"/>
        <w:left w:val="none" w:sz="0" w:space="0" w:color="auto"/>
        <w:bottom w:val="none" w:sz="0" w:space="0" w:color="auto"/>
        <w:right w:val="none" w:sz="0" w:space="0" w:color="auto"/>
      </w:divBdr>
    </w:div>
    <w:div w:id="1612778255">
      <w:bodyDiv w:val="1"/>
      <w:marLeft w:val="0"/>
      <w:marRight w:val="0"/>
      <w:marTop w:val="0"/>
      <w:marBottom w:val="0"/>
      <w:divBdr>
        <w:top w:val="none" w:sz="0" w:space="0" w:color="auto"/>
        <w:left w:val="none" w:sz="0" w:space="0" w:color="auto"/>
        <w:bottom w:val="none" w:sz="0" w:space="0" w:color="auto"/>
        <w:right w:val="none" w:sz="0" w:space="0" w:color="auto"/>
      </w:divBdr>
      <w:divsChild>
        <w:div w:id="690764480">
          <w:marLeft w:val="446"/>
          <w:marRight w:val="0"/>
          <w:marTop w:val="240"/>
          <w:marBottom w:val="0"/>
          <w:divBdr>
            <w:top w:val="none" w:sz="0" w:space="0" w:color="auto"/>
            <w:left w:val="none" w:sz="0" w:space="0" w:color="auto"/>
            <w:bottom w:val="none" w:sz="0" w:space="0" w:color="auto"/>
            <w:right w:val="none" w:sz="0" w:space="0" w:color="auto"/>
          </w:divBdr>
        </w:div>
      </w:divsChild>
    </w:div>
    <w:div w:id="1645425798">
      <w:bodyDiv w:val="1"/>
      <w:marLeft w:val="0"/>
      <w:marRight w:val="0"/>
      <w:marTop w:val="0"/>
      <w:marBottom w:val="0"/>
      <w:divBdr>
        <w:top w:val="none" w:sz="0" w:space="0" w:color="auto"/>
        <w:left w:val="none" w:sz="0" w:space="0" w:color="auto"/>
        <w:bottom w:val="none" w:sz="0" w:space="0" w:color="auto"/>
        <w:right w:val="none" w:sz="0" w:space="0" w:color="auto"/>
      </w:divBdr>
      <w:divsChild>
        <w:div w:id="1802725836">
          <w:marLeft w:val="446"/>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450</Words>
  <Characters>2571</Characters>
  <Application>Microsoft Office Word</Application>
  <DocSecurity>0</DocSecurity>
  <Lines>21</Lines>
  <Paragraphs>6</Paragraphs>
  <ScaleCrop>false</ScaleCrop>
  <Company>Microsoft</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李小泉</cp:lastModifiedBy>
  <cp:revision>2</cp:revision>
  <dcterms:created xsi:type="dcterms:W3CDTF">2022-11-18T06:19:00Z</dcterms:created>
  <dcterms:modified xsi:type="dcterms:W3CDTF">2022-11-18T06:19:00Z</dcterms:modified>
</cp:coreProperties>
</file>